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D" w:rsidRDefault="0038534C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1208D" w:rsidRDefault="0038534C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1208D" w:rsidRDefault="0038534C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21208D">
        <w:rPr>
          <w:rFonts w:ascii="Times New Roman" w:hAnsi="Times New Roman"/>
          <w:sz w:val="24"/>
          <w:szCs w:val="24"/>
          <w:lang w:val="sr-Cyrl-RS"/>
        </w:rPr>
        <w:t>,</w:t>
      </w:r>
    </w:p>
    <w:p w:rsidR="0021208D" w:rsidRDefault="0038534C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</w:p>
    <w:p w:rsidR="0021208D" w:rsidRDefault="0021208D" w:rsidP="0021208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38534C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06-2/7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21208D" w:rsidRDefault="0021208D" w:rsidP="0021208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8534C">
        <w:rPr>
          <w:rFonts w:ascii="Times New Roman" w:hAnsi="Times New Roman"/>
          <w:sz w:val="24"/>
          <w:szCs w:val="24"/>
          <w:lang w:val="sr-Cyrl-RS"/>
        </w:rPr>
        <w:t>april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38534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21208D" w:rsidRDefault="0038534C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08D" w:rsidRDefault="0021208D" w:rsidP="0021208D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208D" w:rsidRDefault="0021208D" w:rsidP="0021208D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208D" w:rsidRDefault="0038534C" w:rsidP="00212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Z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</w:p>
    <w:p w:rsidR="0021208D" w:rsidRDefault="0038534C" w:rsidP="00212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DEVETE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1208D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 w:rsidR="0021208D">
        <w:rPr>
          <w:rFonts w:ascii="Times New Roman" w:hAnsi="Times New Roman"/>
          <w:sz w:val="24"/>
          <w:szCs w:val="24"/>
          <w:lang w:val="sr-Cyrl-RS"/>
        </w:rPr>
        <w:t>21</w:t>
      </w:r>
      <w:r w:rsidR="002120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208D">
        <w:rPr>
          <w:rFonts w:ascii="Times New Roman" w:hAnsi="Times New Roman"/>
          <w:sz w:val="24"/>
          <w:szCs w:val="24"/>
          <w:lang w:val="ru-RU"/>
        </w:rPr>
        <w:t>2023</w:t>
      </w:r>
      <w:r w:rsidR="002120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21208D" w:rsidRDefault="0021208D" w:rsidP="00212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</w:p>
    <w:p w:rsidR="0021208D" w:rsidRDefault="0021208D" w:rsidP="0021208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38534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38534C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38534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34C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21208D" w:rsidRDefault="0021208D" w:rsidP="0021208D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38534C">
        <w:rPr>
          <w:rFonts w:ascii="Times New Roman" w:hAnsi="Times New Roman"/>
          <w:sz w:val="24"/>
          <w:szCs w:val="24"/>
          <w:lang w:val="sr-Cyrl-CS"/>
        </w:rPr>
        <w:t>Sednicom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mr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Dejan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Radenković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Pored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predsedavajućeg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8534C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Živan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Tijana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Davidovac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mr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Ninoslav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Erić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Dalibor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Jekić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Đorđe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Stanković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Miodrag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Gavrilović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Zečević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Života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Starčević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1208D" w:rsidRDefault="0021208D" w:rsidP="002120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8534C"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Nešić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8534C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Nebojše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Zelenović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21208D" w:rsidRDefault="0021208D" w:rsidP="0021208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8534C">
        <w:rPr>
          <w:rFonts w:ascii="Times New Roman" w:hAnsi="Times New Roman"/>
          <w:sz w:val="24"/>
          <w:szCs w:val="24"/>
          <w:lang w:val="sr-Cyrl-CS"/>
        </w:rPr>
        <w:t>Dragomir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Karić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Snežana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Paunović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Pavle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Grbović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Sandić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CS"/>
        </w:rPr>
        <w:t>niti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8534C">
        <w:rPr>
          <w:rFonts w:ascii="Times New Roman" w:hAnsi="Times New Roman"/>
          <w:sz w:val="24"/>
          <w:szCs w:val="24"/>
          <w:lang w:val="sr-Cyrl-CS"/>
        </w:rPr>
        <w:t>njihovi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CS"/>
        </w:rPr>
        <w:t>zamenici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1208D" w:rsidRDefault="0021208D" w:rsidP="0021208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rudarstva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energetike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Veljko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Mrdak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obnovljive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izvore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Darko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Mitrović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Lucija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Dujović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šef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Odseka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pripremu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investicionih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projekata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1208D" w:rsidRDefault="0021208D" w:rsidP="0021208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"</w:t>
      </w:r>
      <w:r w:rsidR="0038534C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" 9 </w:t>
      </w:r>
      <w:r w:rsidR="0038534C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"</w:t>
      </w:r>
      <w:r w:rsidR="0038534C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glasalo</w:t>
      </w:r>
      <w:r>
        <w:rPr>
          <w:rFonts w:ascii="Times New Roman" w:hAnsi="Times New Roman"/>
          <w:sz w:val="24"/>
          <w:szCs w:val="24"/>
          <w:lang w:val="sr-Cyrl-CS"/>
        </w:rPr>
        <w:t xml:space="preserve">"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utvrdio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</w:p>
    <w:p w:rsidR="0021208D" w:rsidRDefault="0038534C" w:rsidP="002120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1208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120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21208D" w:rsidRDefault="0021208D" w:rsidP="002120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1208D" w:rsidRDefault="0038534C" w:rsidP="002120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korišćenju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obnovljivih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izvora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011-504/23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1208D">
        <w:rPr>
          <w:rFonts w:ascii="Times New Roman" w:hAnsi="Times New Roman"/>
          <w:sz w:val="24"/>
          <w:szCs w:val="24"/>
          <w:lang w:val="sr-Cyrl-RS"/>
        </w:rPr>
        <w:t>);</w:t>
      </w:r>
    </w:p>
    <w:p w:rsidR="0021208D" w:rsidRDefault="0038534C" w:rsidP="002120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Sporazuma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Turske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uzajamnom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podsticanju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2120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ulaganja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011-327/23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1208D">
        <w:rPr>
          <w:rFonts w:ascii="Times New Roman" w:hAnsi="Times New Roman"/>
          <w:sz w:val="24"/>
          <w:szCs w:val="24"/>
          <w:lang w:val="sr-Cyrl-RS"/>
        </w:rPr>
        <w:t>).</w:t>
      </w: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208D" w:rsidRDefault="0038534C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Prva</w:t>
      </w:r>
      <w:r w:rsidR="0021208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21208D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OBNOVLjIVIH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IZVORA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</w:p>
    <w:p w:rsidR="0021208D" w:rsidRDefault="0021208D" w:rsidP="00212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208D" w:rsidRDefault="0021208D" w:rsidP="0021208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uvodnim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napomenama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Veljko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rudarstva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energetike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predstavio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dopuna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čija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trebalo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poboljša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ambijent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Republici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značajno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olakša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delatnosti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većeg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broja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energetskih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subjekata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pristupljeno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praktičnih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iskustava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primeni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osnovnog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teksta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usvojen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38534C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38534C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40/21 </w:t>
      </w:r>
      <w:r w:rsidR="0038534C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38534C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38534C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). </w:t>
      </w:r>
      <w:r w:rsidR="0038534C">
        <w:rPr>
          <w:rFonts w:ascii="Times New Roman" w:hAnsi="Times New Roman"/>
          <w:sz w:val="24"/>
          <w:szCs w:val="24"/>
          <w:lang w:val="sr-Cyrl-RS"/>
        </w:rPr>
        <w:t>Unapređenju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teksta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značajano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doprineo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pregled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uporedno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38534C">
        <w:rPr>
          <w:rFonts w:ascii="Times New Roman" w:hAnsi="Times New Roman"/>
          <w:sz w:val="24"/>
          <w:szCs w:val="24"/>
          <w:lang w:val="sr-Cyrl-RS"/>
        </w:rPr>
        <w:t>pravnih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snagu</w:t>
      </w:r>
      <w:r>
        <w:rPr>
          <w:rFonts w:ascii="Times New Roman" w:hAnsi="Times New Roman"/>
          <w:sz w:val="24"/>
          <w:szCs w:val="24"/>
          <w:lang w:val="sr-Cyrl-RS"/>
        </w:rPr>
        <w:t xml:space="preserve"> 30. </w:t>
      </w:r>
      <w:r w:rsidR="0038534C"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38534C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trebalo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problem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nedovoljnog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povećanja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udela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energetskom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otklanjajući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glavne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uzroke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sprečavaju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njihov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rast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Prilikom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indetifikovani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problemi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ocenjeno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problemi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prevazići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isključivo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važećeg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Glavni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problemi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sprovođenju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posledica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okolnosti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nastupile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donošenja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OIE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veliki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priključenje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prenosnom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distributivnom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Zahtevi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priključenje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kapaciteta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porasli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oko</w:t>
      </w:r>
      <w:r>
        <w:rPr>
          <w:rFonts w:ascii="Times New Roman" w:hAnsi="Times New Roman"/>
          <w:sz w:val="24"/>
          <w:szCs w:val="24"/>
          <w:lang w:val="sr-Cyrl-RS"/>
        </w:rPr>
        <w:t xml:space="preserve"> 4800 MW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38534C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20.000 MW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38534C">
        <w:rPr>
          <w:rFonts w:ascii="Times New Roman" w:hAnsi="Times New Roman"/>
          <w:sz w:val="24"/>
          <w:szCs w:val="24"/>
          <w:lang w:val="sr-Cyrl-RS"/>
        </w:rPr>
        <w:t>godini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nadmašuje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puta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postojeći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ukupni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kapacitet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okolnost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promenila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kontekst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postojećih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pretvorila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veliki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rizik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sigurnost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ukoliko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postojećim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rešenjem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omogućila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masovna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brza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integracija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veliki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subjekata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želeli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budu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trenutnim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prenesu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balansnu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Elektroprivredu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veliki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rizik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poslovanje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Elektroprivrede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krajnje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kupce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finansiraju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podsticaje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razloga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rešenjem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preuzimanje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balansne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zadrži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mera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samo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podsticaja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dok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projekti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razvijaju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komercijalnoj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moraju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samostalno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pitanje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balansne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naknadu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troškova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usled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preuzimanja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balansne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premije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gde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put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plaćati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naknadu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balansnu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premije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dužan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dobro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prognozira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proizvodnju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proizvede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više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onoga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navedeno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dužan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isplati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razliku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ukoliko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proizvede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onoga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navedeno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planu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obračuna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dodatnu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naknadu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Izmenom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korišćenju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stvoreni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uređenje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balansne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odgovornosti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podsticaja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takav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način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atraktivan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ulaganje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kapacitete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OIE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omogućiti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njihovu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integraciju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zaštiti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krajnje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kupce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neumereno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visokih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troškova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integracije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problem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instalisane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objekata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kupca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Postojeće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predviđa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kupci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bez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organičenja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priključe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energetski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pri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njihova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elektroenergetskom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potpunosti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isključena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Izmenom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predlaže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instalisana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kupca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bude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ograničena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6,9 kW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domaćinstva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150 kW 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kupce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kategoriji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domaćinstava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pitanje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maksimalne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ponuditi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spreči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zloupotrebu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investitora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zaobilaze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priključenje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prenosni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veštački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dele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projekat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projekte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Predložena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pripremljena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saradnji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operatorima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Agencijom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lastRenderedPageBreak/>
        <w:t>energetiku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omogućiti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ciljevi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ostvare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efikasno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višestruku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208D" w:rsidRDefault="0021208D" w:rsidP="0021208D">
      <w:pPr>
        <w:pStyle w:val="NoSpacing"/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postavili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izneli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sugestije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</w:rPr>
        <w:t>Postavljena</w:t>
      </w:r>
      <w:r>
        <w:rPr>
          <w:rFonts w:ascii="Times New Roman" w:hAnsi="Times New Roman"/>
          <w:sz w:val="24"/>
          <w:szCs w:val="24"/>
        </w:rPr>
        <w:t xml:space="preserve"> </w:t>
      </w:r>
      <w:r w:rsidR="0038534C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38534C">
        <w:rPr>
          <w:rFonts w:ascii="Times New Roman" w:hAnsi="Times New Roman"/>
          <w:sz w:val="24"/>
          <w:szCs w:val="24"/>
        </w:rPr>
        <w:t>sledeća</w:t>
      </w:r>
      <w:r>
        <w:rPr>
          <w:rFonts w:ascii="Times New Roman" w:hAnsi="Times New Roman"/>
          <w:sz w:val="24"/>
          <w:szCs w:val="24"/>
        </w:rPr>
        <w:t xml:space="preserve"> </w:t>
      </w:r>
      <w:r w:rsidR="0038534C">
        <w:rPr>
          <w:rFonts w:ascii="Times New Roman" w:hAnsi="Times New Roman"/>
          <w:sz w:val="24"/>
          <w:szCs w:val="24"/>
        </w:rPr>
        <w:t>pitanja</w:t>
      </w:r>
      <w:r>
        <w:rPr>
          <w:rFonts w:ascii="Times New Roman" w:hAnsi="Times New Roman"/>
          <w:sz w:val="24"/>
          <w:szCs w:val="24"/>
        </w:rPr>
        <w:t>: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primenjuje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primenjuje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određivanja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vratiti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AERS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obračun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njenoj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kakav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poboljšanja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ruralnim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krajevima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zašto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izbegava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odgovornost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sagledaju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EPS</w:t>
      </w:r>
      <w:r w:rsidR="0021208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vetroparkova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povećava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proizvođače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nadležan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EPS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organizacione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strukture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ako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određivati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maksimalnu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cenu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trošak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prelivati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građane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21208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rađena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analiza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maksimalna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uticati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porast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električne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domaćinstva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21208D">
        <w:rPr>
          <w:rFonts w:ascii="Times New Roman" w:hAnsi="Times New Roman"/>
          <w:sz w:val="24"/>
          <w:szCs w:val="24"/>
          <w:lang w:val="sr-Cyrl-RS"/>
        </w:rPr>
        <w:t>;</w:t>
      </w:r>
    </w:p>
    <w:p w:rsidR="00DA437D" w:rsidRDefault="0038534C" w:rsidP="002120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metodologija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AERS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2120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metodologija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usaglašena</w:t>
      </w:r>
      <w:r w:rsidR="00DA437D">
        <w:rPr>
          <w:rFonts w:ascii="Times New Roman" w:hAnsi="Times New Roman"/>
          <w:sz w:val="24"/>
          <w:szCs w:val="24"/>
          <w:lang w:val="sr-Cyrl-RS"/>
        </w:rPr>
        <w:t>;</w:t>
      </w:r>
    </w:p>
    <w:p w:rsidR="00DA437D" w:rsidRPr="00440F96" w:rsidRDefault="0038534C" w:rsidP="00DA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vezuje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nikakvim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ograničenjima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garantovala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garantovala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razliku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dođe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nadoknadi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>;</w:t>
      </w:r>
    </w:p>
    <w:p w:rsidR="00DA437D" w:rsidRPr="00440F96" w:rsidRDefault="0038534C" w:rsidP="00DA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pozajmica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Elektroprivredi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>;</w:t>
      </w:r>
    </w:p>
    <w:p w:rsidR="00DA437D" w:rsidRPr="00440F96" w:rsidRDefault="0038534C" w:rsidP="00DA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važeća</w:t>
      </w:r>
      <w:r w:rsidR="00DA43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postigne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aukciji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>;</w:t>
      </w:r>
    </w:p>
    <w:p w:rsidR="00DA437D" w:rsidRPr="00440F96" w:rsidRDefault="0038534C" w:rsidP="00DA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obračunava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dođe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poremećaja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cena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>;</w:t>
      </w:r>
    </w:p>
    <w:p w:rsidR="00DA437D" w:rsidRPr="00440F96" w:rsidRDefault="0038534C" w:rsidP="00DA4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urađena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projekcija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premija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godina</w:t>
      </w:r>
      <w:r w:rsidR="0047761E">
        <w:rPr>
          <w:rFonts w:ascii="Times New Roman" w:hAnsi="Times New Roman"/>
          <w:sz w:val="24"/>
          <w:szCs w:val="24"/>
          <w:lang w:val="sr-Cyrl-RS"/>
        </w:rPr>
        <w:t>.</w:t>
      </w:r>
    </w:p>
    <w:p w:rsidR="0021208D" w:rsidRDefault="0021208D" w:rsidP="00DA43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1208D" w:rsidRDefault="0021208D" w:rsidP="0021208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Izneto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raspisuju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uspeti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dobro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investitore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ambijent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realno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stvari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pitanju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energenata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ovaj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najbolji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model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ograničenje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6,9 </w:t>
      </w:r>
      <w:r w:rsidR="0038534C">
        <w:rPr>
          <w:rFonts w:ascii="Times New Roman" w:hAnsi="Times New Roman"/>
          <w:sz w:val="24"/>
          <w:szCs w:val="24"/>
          <w:lang w:val="sr-Cyrl-RS"/>
        </w:rPr>
        <w:t>k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proračunala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isplativo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podigne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10,8 </w:t>
      </w:r>
      <w:r w:rsidR="0038534C">
        <w:rPr>
          <w:rFonts w:ascii="Times New Roman" w:hAnsi="Times New Roman"/>
          <w:sz w:val="24"/>
          <w:szCs w:val="24"/>
          <w:lang w:val="sr-Cyrl-RS"/>
        </w:rPr>
        <w:t>k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komora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A437D" w:rsidRPr="00440F96" w:rsidRDefault="0021208D" w:rsidP="0047761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Ocenjeno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traži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efikasnost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država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bori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održi</w:t>
      </w:r>
      <w:r w:rsidR="004776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određen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nivo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pravičnosti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čime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teži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bude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favorizovan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već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propišu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procedure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53148" w:rsidRPr="00440F96" w:rsidRDefault="00DA437D" w:rsidP="00B53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 w:rsidR="0038534C">
        <w:rPr>
          <w:rFonts w:ascii="Times New Roman" w:hAnsi="Times New Roman"/>
          <w:sz w:val="24"/>
          <w:szCs w:val="24"/>
          <w:lang w:val="sr-Cyrl-RS"/>
        </w:rPr>
        <w:t>Zatraženo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detaljnije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objašnjenje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kako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arbitrirati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slučajevima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odreživanja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kako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određuje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maksimalna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li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svaki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put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ad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hok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ili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neki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drugi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način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Zbog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Elektroprivrede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Srbije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usvojen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rebalans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budžeta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Kada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reč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vetroparkovima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napušta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učesnici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prihvatili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pozitivno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ocenili</w:t>
      </w:r>
      <w:r w:rsidR="007A2070">
        <w:rPr>
          <w:rFonts w:ascii="Times New Roman" w:hAnsi="Times New Roman"/>
          <w:sz w:val="24"/>
          <w:szCs w:val="24"/>
          <w:lang w:val="sr-Cyrl-RS"/>
        </w:rPr>
        <w:t>.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Predloženoje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vetroparkovi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imaju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poseban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režim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treba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obrazložiti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kao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druge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načine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proizvodnje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električne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biomasu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male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hidroelektrane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solarnu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ili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neku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novu</w:t>
      </w:r>
      <w:r w:rsidR="007A20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vrstu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možda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biti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korišćena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budućnosti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A437D" w:rsidRPr="00440F96" w:rsidRDefault="00B53148" w:rsidP="00B5314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Primenom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nepotrvrđenih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umanjuje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nezavisnost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regulatronih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tela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slabi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Agencija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energetiku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dobro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kotira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Energetskoj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zajednici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kadrovi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izuzetno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cenjeni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>.</w:t>
      </w:r>
    </w:p>
    <w:p w:rsidR="00DA437D" w:rsidRPr="00440F96" w:rsidRDefault="00B53148" w:rsidP="00B531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Izneto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treba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spreči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vlasničke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strukture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EPS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preduzeća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akcionarsko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društvo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posebno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zbog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očuvanja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životne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sredine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proizvodnje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električne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Potrebno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građani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podstiču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koriste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subvencije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države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lokalnih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samouprava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ugradnju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solarnih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panela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privuku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domaći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strani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investitori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grade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vetroparkove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solarne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parkove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taj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način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podignu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kapaciteti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lastRenderedPageBreak/>
        <w:t>energetskog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obezbedilo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stabilno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snabdevanje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građana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Zadatak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države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dalje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radi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unapređenju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infrastrukture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smanje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gubici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prenosu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električne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Cilj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unapredi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energetski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sektor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iskoriste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prirodni</w:t>
      </w:r>
      <w:r w:rsidR="007479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potencijali</w:t>
      </w:r>
      <w:r w:rsidR="007479DC">
        <w:rPr>
          <w:rFonts w:ascii="Times New Roman" w:hAnsi="Times New Roman"/>
          <w:sz w:val="24"/>
          <w:szCs w:val="24"/>
          <w:lang w:val="sr-Cyrl-RS"/>
        </w:rPr>
        <w:t>.</w:t>
      </w:r>
    </w:p>
    <w:p w:rsidR="00DA437D" w:rsidRPr="00440F96" w:rsidRDefault="002C701B" w:rsidP="002C701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reč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priljučivanju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prenosnu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mrežu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osim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ekonomske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računice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postoji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tehnička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odnosno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zaista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tehničke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mogućnosti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mreža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mogla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primi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Svaka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aktivacija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obnovljivih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izvora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pravi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jedan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šok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mreži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balansiranje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potrebna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određena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količina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Treba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pravi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razlika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šta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akcionarsko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drušvo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šta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preduzeće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Javno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preduzeće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preduzeće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obavlja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delatnost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opšteg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javnog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interesa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Kada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postoji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još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50 </w:t>
      </w:r>
      <w:r w:rsidR="0038534C">
        <w:rPr>
          <w:rFonts w:ascii="Times New Roman" w:hAnsi="Times New Roman"/>
          <w:sz w:val="24"/>
          <w:szCs w:val="24"/>
          <w:lang w:val="sr-Cyrl-RS"/>
        </w:rPr>
        <w:t>ili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stotinu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privrednih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društava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učestvuju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kome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učestvuje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preduzeće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ono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više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Elektroprivreda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Srbije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kao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javno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preduzeće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tromo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donošenju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odluka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sporo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efikasno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nema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normalan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razvoj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Drugi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početi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zauzimaju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tržište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EPS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Ako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konkurentnije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efikasnije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preduzeće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EPS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više</w:t>
      </w:r>
      <w:r w:rsidR="00CA74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imati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položaj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EPS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učestvuje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berzi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prodaje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berzi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jedino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što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prevaljeno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njega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jeste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nižoj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prodaje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električnu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domaćinstvima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Sve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više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poslovati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berze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jer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snaga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srpske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uvećava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samim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tim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potreba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energijom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>.</w:t>
      </w:r>
    </w:p>
    <w:p w:rsidR="004A766D" w:rsidRDefault="00DA437D" w:rsidP="004A766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Rade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Mrdak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savetnik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ministra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izneo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nužan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element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zakonodavnog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okvira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odredila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maksimalna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ponuđena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primer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Nemačkoj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postoji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određivanje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maksimalne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primenjuje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suštini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standardna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ovu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vrstu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projekata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privrede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metod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nivelisanog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troška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proizvodnje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električne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energije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Kroz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javni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poziv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Ministarstva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kada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bude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objavila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maksimalna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biće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dato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obrazloženje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osnovu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čega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određena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nije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formalno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propisana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ali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svakako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primenjivati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neka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metodologija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izračunavanje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Podaci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nalaze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Predlogu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zakona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dati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predlog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operatora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ugla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interesa</w:t>
      </w:r>
      <w:r w:rsidR="004A7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sistema</w:t>
      </w:r>
      <w:r w:rsidR="004A766D">
        <w:rPr>
          <w:rFonts w:ascii="Times New Roman" w:hAnsi="Times New Roman"/>
          <w:sz w:val="24"/>
          <w:szCs w:val="24"/>
          <w:lang w:val="sr-Cyrl-RS"/>
        </w:rPr>
        <w:t>.</w:t>
      </w:r>
    </w:p>
    <w:p w:rsidR="00DA437D" w:rsidRPr="00440F96" w:rsidRDefault="004A766D" w:rsidP="004A766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reč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nadležnosti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Agencije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energetiku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praksi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pokazalo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ceo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sistem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sprovođenja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aukcija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značajno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komplikuje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ako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postoji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postupak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aukcija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dislociran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nekoliko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različitih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institucija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Nadležni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odgovorni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sprovođenje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ovog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zakona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Republike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rudarstva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energetike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Problem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bila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niska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cena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vetroelektrane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55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evra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megavatu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niko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javio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Industrija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oblasti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reagovala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pozitivno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cenu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Dogovor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Agencijom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energetiku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gde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bili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saglasni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efikasnije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ugla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sprovođenja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procedure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koncenrisanije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postupak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vode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organi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odgovorni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uspehe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neuspehe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aukciji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vrlo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važan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element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uspeh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aukcije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pojedinim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zemljama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EU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došlo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neuspeha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aukcija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zbog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niske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cene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38534C">
        <w:rPr>
          <w:rFonts w:ascii="Times New Roman" w:hAnsi="Times New Roman"/>
          <w:sz w:val="24"/>
          <w:szCs w:val="24"/>
          <w:lang w:val="sr-Cyrl-RS"/>
        </w:rPr>
        <w:t>bjasnio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smisao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maksimalne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Ona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treba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postavi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limit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investitore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jave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oni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sami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kroz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konkurenciju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obore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Projekcije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dugoročne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takve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nekim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analizama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ako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takav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trend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bude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ostao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samo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morati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plati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povlašćenim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proizvođačima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nego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oni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dvostrane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premije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uneta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morati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plate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razliku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između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tržištu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dali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garantovanom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snabdevaču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odnosno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EPS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>-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Cene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ponude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potencijalni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proizvođači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važe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toku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podsticajnog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perioda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propisan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traje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15 </w:t>
      </w:r>
      <w:r w:rsidR="0038534C">
        <w:rPr>
          <w:rFonts w:ascii="Times New Roman" w:hAnsi="Times New Roman"/>
          <w:sz w:val="24"/>
          <w:szCs w:val="24"/>
          <w:lang w:val="sr-Cyrl-RS"/>
        </w:rPr>
        <w:t>godina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usklađuje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inflacijom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evro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zoni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8534C">
        <w:rPr>
          <w:rFonts w:ascii="Times New Roman" w:hAnsi="Times New Roman"/>
          <w:sz w:val="24"/>
          <w:szCs w:val="24"/>
          <w:lang w:val="sr-Cyrl-RS"/>
        </w:rPr>
        <w:t>Takav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pristup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fid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38534C">
        <w:rPr>
          <w:rFonts w:ascii="Times New Roman" w:hAnsi="Times New Roman"/>
          <w:sz w:val="24"/>
          <w:szCs w:val="24"/>
          <w:lang w:val="sr-Cyrl-RS"/>
        </w:rPr>
        <w:t>in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tarifama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analiza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pravi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vezano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troškove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podsticaja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biće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predstavljena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kroz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trogodišnji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plan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aukcija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koji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priprema</w:t>
      </w:r>
      <w:r w:rsidR="00E84A6E">
        <w:rPr>
          <w:rFonts w:ascii="Times New Roman" w:hAnsi="Times New Roman"/>
          <w:sz w:val="24"/>
          <w:szCs w:val="24"/>
          <w:lang w:val="sr-Cyrl-RS"/>
        </w:rPr>
        <w:t>.</w:t>
      </w:r>
    </w:p>
    <w:p w:rsidR="00DA437D" w:rsidRPr="00440F96" w:rsidRDefault="00DA437D" w:rsidP="00DA43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="00E84A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diskusiji</w:t>
      </w:r>
      <w:r w:rsidR="00E84A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su</w:t>
      </w:r>
      <w:r w:rsidR="00E84A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učestvovaliDejan</w:t>
      </w:r>
      <w:r w:rsidR="00E84A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Radenković</w:t>
      </w:r>
      <w:r w:rsidR="00E84A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Miodrag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Gavrilović</w:t>
      </w:r>
      <w:r w:rsidRPr="00440F96">
        <w:rPr>
          <w:rFonts w:ascii="Times New Roman" w:hAnsi="Times New Roman"/>
          <w:sz w:val="24"/>
          <w:szCs w:val="24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Nikola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Nešić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Aleksandra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Tomić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Veroljub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Arsić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Dalibor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Jekić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Zoran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Zečević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Zoran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Tomić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hAnsi="Times New Roman"/>
          <w:sz w:val="24"/>
          <w:szCs w:val="24"/>
          <w:lang w:val="sr-Cyrl-RS"/>
        </w:rPr>
        <w:t>Veljko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Stamenković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Rade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Mrdak</w:t>
      </w:r>
      <w:r w:rsidRPr="00440F96">
        <w:rPr>
          <w:rFonts w:ascii="Times New Roman" w:hAnsi="Times New Roman"/>
          <w:sz w:val="24"/>
          <w:szCs w:val="24"/>
          <w:lang w:val="sr-Cyrl-RS"/>
        </w:rPr>
        <w:t>.</w:t>
      </w:r>
    </w:p>
    <w:p w:rsidR="00DA437D" w:rsidRPr="00440F96" w:rsidRDefault="00DA437D" w:rsidP="00DA437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A437D" w:rsidRPr="00440F96" w:rsidRDefault="0038534C" w:rsidP="00E84A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Druga</w:t>
      </w:r>
      <w:r w:rsidR="00DA437D" w:rsidRPr="00440F9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DA437D" w:rsidRPr="00440F96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DA437D" w:rsidRPr="00440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TURSKE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UZAJAMNOM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4A6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PODSTICANjU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ULAGANjA</w:t>
      </w:r>
      <w:r w:rsidR="00DA437D"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A437D" w:rsidRPr="00440F96" w:rsidRDefault="00DA437D" w:rsidP="00DA437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DA437D" w:rsidRPr="00440F96" w:rsidRDefault="00E84A6E" w:rsidP="00E84A6E">
      <w:pPr>
        <w:widowControl w:val="0"/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redlog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potvrđivanju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Sporazuma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između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Vlade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Vlade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Turske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uzajamnom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podsticanju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ulaganja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DA437D" w:rsidRPr="00440F96">
        <w:rPr>
          <w:rFonts w:ascii="Times New Roman" w:eastAsia="Times New Roman" w:hAnsi="Times New Roman"/>
          <w:sz w:val="24"/>
          <w:szCs w:val="24"/>
        </w:rPr>
        <w:t>.</w:t>
      </w:r>
    </w:p>
    <w:p w:rsidR="00DA437D" w:rsidRPr="00440F96" w:rsidRDefault="00DA437D" w:rsidP="00DA437D">
      <w:pPr>
        <w:widowControl w:val="0"/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0F96">
        <w:rPr>
          <w:rFonts w:ascii="Times New Roman" w:eastAsia="Times New Roman" w:hAnsi="Times New Roman"/>
          <w:sz w:val="24"/>
          <w:szCs w:val="24"/>
        </w:rPr>
        <w:tab/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E84A6E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156.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privredu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regionalni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razvoj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trgovinu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turizam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energetiku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A437D" w:rsidRPr="00440F96" w:rsidRDefault="0038534C" w:rsidP="00DA437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A437D"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DA437D" w:rsidRPr="00440F96" w:rsidRDefault="00DA437D" w:rsidP="00DA437D">
      <w:pPr>
        <w:widowControl w:val="0"/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>155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odlučio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predloži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prihvati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redlog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potvrđivanju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Sporazuma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između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Vlade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Vlade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Turske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uzajamnom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podsticanju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ulaganja</w:t>
      </w:r>
      <w:r w:rsidRPr="00440F96">
        <w:rPr>
          <w:rFonts w:ascii="Times New Roman" w:eastAsia="Times New Roman" w:hAnsi="Times New Roman"/>
          <w:sz w:val="24"/>
          <w:szCs w:val="24"/>
        </w:rPr>
        <w:t>.</w:t>
      </w:r>
    </w:p>
    <w:p w:rsidR="00DA437D" w:rsidRPr="00440F96" w:rsidRDefault="00DA437D" w:rsidP="00E84A6E">
      <w:pPr>
        <w:widowControl w:val="0"/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0F96">
        <w:rPr>
          <w:rFonts w:ascii="Times New Roman" w:hAnsi="Times New Roman"/>
          <w:sz w:val="24"/>
          <w:szCs w:val="24"/>
          <w:lang w:val="sr-Cyrl-CS"/>
        </w:rPr>
        <w:tab/>
      </w:r>
      <w:r w:rsidRPr="00440F96">
        <w:rPr>
          <w:rFonts w:ascii="Times New Roman" w:hAnsi="Times New Roman"/>
          <w:sz w:val="24"/>
          <w:szCs w:val="24"/>
          <w:lang w:val="sr-Cyrl-RS"/>
        </w:rPr>
        <w:tab/>
      </w:r>
      <w:r w:rsidRPr="00440F96"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mr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Radenković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440F9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A437D" w:rsidRPr="00440F96" w:rsidRDefault="00DA437D" w:rsidP="00DA437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</w:p>
    <w:p w:rsidR="00DA437D" w:rsidRPr="00440F96" w:rsidRDefault="00DA437D" w:rsidP="00DA437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mr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Radenković</w:t>
      </w:r>
    </w:p>
    <w:p w:rsidR="00DA437D" w:rsidRPr="00440F96" w:rsidRDefault="00DA437D" w:rsidP="00DA437D">
      <w:pPr>
        <w:widowControl w:val="0"/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437D" w:rsidRDefault="00DA437D" w:rsidP="00DA4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4A6E" w:rsidRPr="00440F96" w:rsidRDefault="00E84A6E" w:rsidP="00DA4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A437D" w:rsidRPr="00440F96" w:rsidRDefault="00DA437D" w:rsidP="00DA4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</w:rPr>
        <w:tab/>
      </w:r>
      <w:r w:rsidRPr="00440F96">
        <w:rPr>
          <w:rFonts w:ascii="Times New Roman" w:hAnsi="Times New Roman"/>
          <w:sz w:val="24"/>
          <w:szCs w:val="24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Sednica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je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zaključena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u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40F96">
        <w:rPr>
          <w:rFonts w:ascii="Times New Roman" w:hAnsi="Times New Roman"/>
          <w:sz w:val="24"/>
          <w:szCs w:val="24"/>
        </w:rPr>
        <w:t>9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časova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i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40F96">
        <w:rPr>
          <w:rFonts w:ascii="Times New Roman" w:hAnsi="Times New Roman"/>
          <w:sz w:val="24"/>
          <w:szCs w:val="24"/>
        </w:rPr>
        <w:t>58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minuta</w:t>
      </w:r>
      <w:r w:rsidRPr="00440F96">
        <w:rPr>
          <w:rFonts w:ascii="Times New Roman" w:hAnsi="Times New Roman"/>
          <w:sz w:val="24"/>
          <w:szCs w:val="24"/>
          <w:lang w:val="sr-Cyrl-RS"/>
        </w:rPr>
        <w:t>.</w:t>
      </w:r>
    </w:p>
    <w:p w:rsidR="00DA437D" w:rsidRPr="00440F96" w:rsidRDefault="00DA437D" w:rsidP="00DA437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prenošena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live stream-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tonski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snimana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video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zapis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nalazi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internet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stranici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440F9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DA437D" w:rsidRPr="00440F96" w:rsidRDefault="00DA437D" w:rsidP="00DA437D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437D" w:rsidRPr="00440F96" w:rsidRDefault="00DA437D" w:rsidP="00DA437D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437D" w:rsidRPr="00440F96" w:rsidRDefault="00DA437D" w:rsidP="00DA437D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437D" w:rsidRPr="00440F96" w:rsidRDefault="00DA437D" w:rsidP="00DA43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ab/>
      </w:r>
    </w:p>
    <w:p w:rsidR="00DA437D" w:rsidRPr="00440F96" w:rsidRDefault="00DA437D" w:rsidP="00DA437D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SEKRETAR</w:t>
      </w:r>
      <w:r w:rsidRPr="00440F96">
        <w:rPr>
          <w:rFonts w:ascii="Times New Roman" w:hAnsi="Times New Roman"/>
          <w:sz w:val="24"/>
          <w:szCs w:val="24"/>
          <w:lang w:val="sr-Cyrl-RS"/>
        </w:rPr>
        <w:tab/>
      </w:r>
      <w:r w:rsidRPr="00440F96">
        <w:rPr>
          <w:rFonts w:ascii="Times New Roman" w:hAnsi="Times New Roman"/>
          <w:sz w:val="24"/>
          <w:szCs w:val="24"/>
          <w:lang w:val="sr-Cyrl-RS"/>
        </w:rPr>
        <w:tab/>
      </w:r>
      <w:r w:rsidR="0038534C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DA437D" w:rsidRPr="00440F96" w:rsidRDefault="00DA437D" w:rsidP="00DA437D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A437D" w:rsidRPr="00440F96" w:rsidRDefault="00DA437D" w:rsidP="00DA437D">
      <w:pPr>
        <w:tabs>
          <w:tab w:val="left" w:pos="284"/>
          <w:tab w:val="center" w:pos="7088"/>
        </w:tabs>
        <w:spacing w:after="0" w:line="240" w:lineRule="auto"/>
        <w:jc w:val="both"/>
        <w:rPr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38534C">
        <w:rPr>
          <w:rFonts w:ascii="Times New Roman" w:hAnsi="Times New Roman"/>
          <w:sz w:val="24"/>
          <w:szCs w:val="24"/>
          <w:lang w:val="sr-Cyrl-RS"/>
        </w:rPr>
        <w:t>Aleksandra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Balać</w:t>
      </w:r>
      <w:r w:rsidRPr="00440F96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mr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Dejan</w:t>
      </w:r>
      <w:r w:rsidRPr="00440F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8534C">
        <w:rPr>
          <w:rFonts w:ascii="Times New Roman" w:hAnsi="Times New Roman"/>
          <w:sz w:val="24"/>
          <w:szCs w:val="24"/>
          <w:lang w:val="sr-Cyrl-RS"/>
        </w:rPr>
        <w:t>Radenković</w:t>
      </w:r>
    </w:p>
    <w:p w:rsidR="00DA437D" w:rsidRPr="00440F96" w:rsidRDefault="00DA437D" w:rsidP="00DA437D">
      <w:pPr>
        <w:spacing w:after="160" w:line="259" w:lineRule="auto"/>
        <w:jc w:val="both"/>
        <w:rPr>
          <w:lang w:val="sr-Cyrl-RS"/>
        </w:rPr>
      </w:pPr>
    </w:p>
    <w:p w:rsidR="00DA437D" w:rsidRPr="00440F96" w:rsidRDefault="00DA437D" w:rsidP="00DA437D">
      <w:pPr>
        <w:spacing w:after="0" w:line="240" w:lineRule="auto"/>
        <w:jc w:val="both"/>
        <w:rPr>
          <w:lang w:val="sr-Cyrl-RS"/>
        </w:rPr>
      </w:pPr>
    </w:p>
    <w:p w:rsidR="00DA437D" w:rsidRPr="00440F96" w:rsidRDefault="00DA437D" w:rsidP="00DA437D">
      <w:pPr>
        <w:spacing w:after="0" w:line="240" w:lineRule="auto"/>
        <w:jc w:val="both"/>
        <w:rPr>
          <w:lang w:val="sr-Cyrl-RS"/>
        </w:rPr>
      </w:pPr>
    </w:p>
    <w:p w:rsidR="00DA437D" w:rsidRPr="00440F96" w:rsidRDefault="00DA437D" w:rsidP="00DA437D">
      <w:pPr>
        <w:spacing w:after="0" w:line="240" w:lineRule="auto"/>
        <w:jc w:val="both"/>
        <w:rPr>
          <w:lang w:val="sr-Cyrl-RS"/>
        </w:rPr>
      </w:pPr>
    </w:p>
    <w:p w:rsidR="00DA437D" w:rsidRPr="00440F96" w:rsidRDefault="00DA437D" w:rsidP="00DA437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40F9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3071C" w:rsidRDefault="001B3426"/>
    <w:sectPr w:rsidR="0053071C" w:rsidSect="00E84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26" w:rsidRDefault="001B3426" w:rsidP="007479DC">
      <w:pPr>
        <w:spacing w:after="0" w:line="240" w:lineRule="auto"/>
      </w:pPr>
      <w:r>
        <w:separator/>
      </w:r>
    </w:p>
  </w:endnote>
  <w:endnote w:type="continuationSeparator" w:id="0">
    <w:p w:rsidR="001B3426" w:rsidRDefault="001B3426" w:rsidP="0074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C" w:rsidRDefault="00385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C" w:rsidRDefault="00385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C" w:rsidRDefault="00385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26" w:rsidRDefault="001B3426" w:rsidP="007479DC">
      <w:pPr>
        <w:spacing w:after="0" w:line="240" w:lineRule="auto"/>
      </w:pPr>
      <w:r>
        <w:separator/>
      </w:r>
    </w:p>
  </w:footnote>
  <w:footnote w:type="continuationSeparator" w:id="0">
    <w:p w:rsidR="001B3426" w:rsidRDefault="001B3426" w:rsidP="0074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C" w:rsidRDefault="00385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4743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79DC" w:rsidRDefault="007479D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3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79DC" w:rsidRDefault="007479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4C" w:rsidRDefault="00385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5B1"/>
    <w:multiLevelType w:val="hybridMultilevel"/>
    <w:tmpl w:val="EB7E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49FE"/>
    <w:multiLevelType w:val="hybridMultilevel"/>
    <w:tmpl w:val="388CC648"/>
    <w:lvl w:ilvl="0" w:tplc="E550BF3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D"/>
    <w:rsid w:val="001B3426"/>
    <w:rsid w:val="0021208D"/>
    <w:rsid w:val="002C701B"/>
    <w:rsid w:val="0038534C"/>
    <w:rsid w:val="003E71A8"/>
    <w:rsid w:val="0047761E"/>
    <w:rsid w:val="004A766D"/>
    <w:rsid w:val="0074392C"/>
    <w:rsid w:val="007479DC"/>
    <w:rsid w:val="007A2070"/>
    <w:rsid w:val="00870D6B"/>
    <w:rsid w:val="00B53148"/>
    <w:rsid w:val="00CA1234"/>
    <w:rsid w:val="00CA7473"/>
    <w:rsid w:val="00DA437D"/>
    <w:rsid w:val="00E8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0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0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dcterms:created xsi:type="dcterms:W3CDTF">2023-07-10T13:28:00Z</dcterms:created>
  <dcterms:modified xsi:type="dcterms:W3CDTF">2023-07-10T13:28:00Z</dcterms:modified>
</cp:coreProperties>
</file>